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93E83">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val="0"/>
          <w:bCs w:val="0"/>
          <w:color w:val="000000"/>
          <w:sz w:val="32"/>
          <w:szCs w:val="32"/>
        </w:rPr>
      </w:pPr>
      <w:r>
        <w:rPr>
          <w:rFonts w:hint="default" w:ascii="Times New Roman" w:hAnsi="Times New Roman" w:eastAsia="方正小标宋简体" w:cs="Times New Roman"/>
          <w:b/>
          <w:bCs/>
          <w:color w:val="000000"/>
          <w:sz w:val="32"/>
          <w:szCs w:val="32"/>
        </w:rPr>
        <w:t>2026</w:t>
      </w:r>
      <w:r>
        <w:rPr>
          <w:rFonts w:hint="eastAsia" w:ascii="方正小标宋简体" w:hAnsi="方正小标宋简体" w:eastAsia="方正小标宋简体" w:cs="方正小标宋简体"/>
          <w:b w:val="0"/>
          <w:bCs w:val="0"/>
          <w:color w:val="000000"/>
          <w:sz w:val="32"/>
          <w:szCs w:val="32"/>
        </w:rPr>
        <w:t>年北京市可移式通用灯具（非读写台灯）产品质量</w:t>
      </w:r>
    </w:p>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rPr>
        <w:t>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1E17313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抽样基数满足抽样数量即可，对于可移式通用灯具（非读写台灯），抽取3个，其中2个为检验用样品，另1个为备用样品。</w:t>
      </w:r>
    </w:p>
    <w:p w14:paraId="3A18AC12">
      <w:pPr>
        <w:snapToGrid w:val="0"/>
        <w:spacing w:line="240" w:lineRule="auto"/>
        <w:rPr>
          <w:rFonts w:eastAsia="黑体"/>
          <w:color w:val="000000"/>
          <w:szCs w:val="21"/>
        </w:rPr>
      </w:pPr>
    </w:p>
    <w:p w14:paraId="3649ECC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黑体" w:cs="黑体"/>
          <w:sz w:val="22"/>
          <w:szCs w:val="28"/>
          <w:lang w:val="en-US" w:eastAsia="zh-CN"/>
        </w:rPr>
        <w:t>2 检验依据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0" w:type="dxa"/>
          <w:right w:w="108" w:type="dxa"/>
        </w:tblCellMar>
      </w:tblPr>
      <w:tblGrid>
        <w:gridCol w:w="760"/>
        <w:gridCol w:w="1320"/>
        <w:gridCol w:w="2597"/>
        <w:gridCol w:w="2190"/>
        <w:gridCol w:w="2190"/>
      </w:tblGrid>
      <w:tr w14:paraId="0C76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478" w:hRule="atLeast"/>
          <w:tblHeader/>
          <w:jc w:val="center"/>
        </w:trPr>
        <w:tc>
          <w:tcPr>
            <w:tcW w:w="760" w:type="dxa"/>
            <w:noWrap w:val="0"/>
            <w:vAlign w:val="center"/>
          </w:tcPr>
          <w:p w14:paraId="406854C6">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3917" w:type="dxa"/>
            <w:gridSpan w:val="2"/>
            <w:noWrap w:val="0"/>
            <w:vAlign w:val="center"/>
          </w:tcPr>
          <w:p w14:paraId="7B5CAECE">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2190" w:type="dxa"/>
            <w:noWrap w:val="0"/>
            <w:vAlign w:val="center"/>
          </w:tcPr>
          <w:p w14:paraId="7B921AC8">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检验依据</w:t>
            </w:r>
          </w:p>
        </w:tc>
        <w:tc>
          <w:tcPr>
            <w:tcW w:w="2190" w:type="dxa"/>
            <w:noWrap w:val="0"/>
            <w:vAlign w:val="center"/>
          </w:tcPr>
          <w:p w14:paraId="03EF3B4B">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0F49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119" w:hRule="atLeast"/>
          <w:jc w:val="center"/>
        </w:trPr>
        <w:tc>
          <w:tcPr>
            <w:tcW w:w="760" w:type="dxa"/>
            <w:vMerge w:val="restart"/>
            <w:noWrap w:val="0"/>
            <w:vAlign w:val="center"/>
          </w:tcPr>
          <w:p w14:paraId="6C4D967C">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1320" w:type="dxa"/>
            <w:vMerge w:val="restart"/>
            <w:noWrap w:val="0"/>
            <w:vAlign w:val="center"/>
          </w:tcPr>
          <w:p w14:paraId="440B59FC">
            <w:pPr>
              <w:jc w:val="center"/>
              <w:rPr>
                <w:rFonts w:hint="default" w:ascii="Times New Roman" w:hAnsi="Times New Roman" w:cs="Times New Roman"/>
                <w:kern w:val="0"/>
                <w:szCs w:val="21"/>
              </w:rPr>
            </w:pPr>
            <w:r>
              <w:rPr>
                <w:rFonts w:hint="default" w:ascii="Times New Roman" w:hAnsi="Times New Roman" w:cs="Times New Roman"/>
                <w:kern w:val="0"/>
                <w:szCs w:val="21"/>
              </w:rPr>
              <w:t>结构</w:t>
            </w:r>
          </w:p>
        </w:tc>
        <w:tc>
          <w:tcPr>
            <w:tcW w:w="2597" w:type="dxa"/>
            <w:noWrap w:val="0"/>
            <w:vAlign w:val="center"/>
          </w:tcPr>
          <w:p w14:paraId="19FE7C1C">
            <w:pPr>
              <w:snapToGrid w:val="0"/>
              <w:jc w:val="center"/>
              <w:rPr>
                <w:rFonts w:hint="default" w:ascii="Times New Roman" w:hAnsi="Times New Roman" w:cs="Times New Roman"/>
                <w:kern w:val="0"/>
                <w:szCs w:val="21"/>
                <w:highlight w:val="yellow"/>
              </w:rPr>
            </w:pPr>
            <w:r>
              <w:rPr>
                <w:rFonts w:hint="default" w:ascii="Times New Roman" w:hAnsi="Times New Roman" w:cs="Times New Roman"/>
                <w:kern w:val="0"/>
                <w:szCs w:val="21"/>
              </w:rPr>
              <w:t>走线槽</w:t>
            </w:r>
          </w:p>
        </w:tc>
        <w:tc>
          <w:tcPr>
            <w:tcW w:w="2190" w:type="dxa"/>
            <w:vMerge w:val="restart"/>
            <w:noWrap w:val="0"/>
            <w:vAlign w:val="center"/>
          </w:tcPr>
          <w:p w14:paraId="38D55700">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5BBBE28F">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90" w:type="dxa"/>
            <w:vMerge w:val="restart"/>
            <w:noWrap w:val="0"/>
            <w:vAlign w:val="center"/>
          </w:tcPr>
          <w:p w14:paraId="6C5866E5">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389649DA">
            <w:pPr>
              <w:snapToGrid w:val="0"/>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25BC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119" w:hRule="atLeast"/>
          <w:jc w:val="center"/>
        </w:trPr>
        <w:tc>
          <w:tcPr>
            <w:tcW w:w="760" w:type="dxa"/>
            <w:vMerge w:val="continue"/>
            <w:noWrap w:val="0"/>
            <w:vAlign w:val="center"/>
          </w:tcPr>
          <w:p w14:paraId="5E7B5034">
            <w:pPr>
              <w:snapToGrid w:val="0"/>
              <w:jc w:val="center"/>
              <w:rPr>
                <w:rFonts w:hint="default" w:ascii="Times New Roman" w:hAnsi="Times New Roman" w:cs="Times New Roman"/>
              </w:rPr>
            </w:pPr>
          </w:p>
        </w:tc>
        <w:tc>
          <w:tcPr>
            <w:tcW w:w="1320" w:type="dxa"/>
            <w:vMerge w:val="continue"/>
            <w:noWrap w:val="0"/>
            <w:vAlign w:val="center"/>
          </w:tcPr>
          <w:p w14:paraId="43E82AFB">
            <w:pPr>
              <w:snapToGrid w:val="0"/>
              <w:jc w:val="center"/>
              <w:rPr>
                <w:rFonts w:hint="default" w:ascii="Times New Roman" w:hAnsi="Times New Roman" w:cs="Times New Roman"/>
              </w:rPr>
            </w:pPr>
          </w:p>
        </w:tc>
        <w:tc>
          <w:tcPr>
            <w:tcW w:w="2597" w:type="dxa"/>
            <w:noWrap w:val="0"/>
            <w:vAlign w:val="center"/>
          </w:tcPr>
          <w:p w14:paraId="54B1D8E1">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带有不可替换光源的灯具</w:t>
            </w:r>
          </w:p>
        </w:tc>
        <w:tc>
          <w:tcPr>
            <w:tcW w:w="2190" w:type="dxa"/>
            <w:vMerge w:val="continue"/>
            <w:noWrap w:val="0"/>
            <w:vAlign w:val="center"/>
          </w:tcPr>
          <w:p w14:paraId="450A5B0D">
            <w:pPr>
              <w:snapToGrid w:val="0"/>
              <w:jc w:val="center"/>
              <w:rPr>
                <w:rFonts w:hint="default" w:ascii="Times New Roman" w:hAnsi="Times New Roman" w:cs="Times New Roman"/>
                <w:kern w:val="0"/>
                <w:szCs w:val="21"/>
              </w:rPr>
            </w:pPr>
          </w:p>
        </w:tc>
        <w:tc>
          <w:tcPr>
            <w:tcW w:w="2190" w:type="dxa"/>
            <w:vMerge w:val="continue"/>
            <w:noWrap w:val="0"/>
            <w:vAlign w:val="center"/>
          </w:tcPr>
          <w:p w14:paraId="4375E1DE">
            <w:pPr>
              <w:snapToGrid w:val="0"/>
              <w:jc w:val="center"/>
              <w:rPr>
                <w:rFonts w:hint="default" w:ascii="Times New Roman" w:hAnsi="Times New Roman" w:cs="Times New Roman"/>
                <w:kern w:val="0"/>
                <w:szCs w:val="21"/>
              </w:rPr>
            </w:pPr>
          </w:p>
        </w:tc>
      </w:tr>
      <w:tr w14:paraId="458FA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119" w:hRule="atLeast"/>
          <w:jc w:val="center"/>
        </w:trPr>
        <w:tc>
          <w:tcPr>
            <w:tcW w:w="760" w:type="dxa"/>
            <w:vMerge w:val="continue"/>
            <w:noWrap w:val="0"/>
            <w:vAlign w:val="center"/>
          </w:tcPr>
          <w:p w14:paraId="493AAE62">
            <w:pPr>
              <w:snapToGrid w:val="0"/>
              <w:jc w:val="center"/>
              <w:rPr>
                <w:rFonts w:hint="default" w:ascii="Times New Roman" w:hAnsi="Times New Roman" w:cs="Times New Roman"/>
                <w:kern w:val="0"/>
                <w:szCs w:val="21"/>
              </w:rPr>
            </w:pPr>
          </w:p>
        </w:tc>
        <w:tc>
          <w:tcPr>
            <w:tcW w:w="1320" w:type="dxa"/>
            <w:vMerge w:val="continue"/>
            <w:noWrap w:val="0"/>
            <w:vAlign w:val="center"/>
          </w:tcPr>
          <w:p w14:paraId="0F6BE693">
            <w:pPr>
              <w:snapToGrid w:val="0"/>
              <w:jc w:val="center"/>
              <w:rPr>
                <w:rFonts w:hint="default" w:ascii="Times New Roman" w:hAnsi="Times New Roman" w:cs="Times New Roman"/>
                <w:kern w:val="0"/>
                <w:szCs w:val="21"/>
              </w:rPr>
            </w:pPr>
          </w:p>
        </w:tc>
        <w:tc>
          <w:tcPr>
            <w:tcW w:w="2597" w:type="dxa"/>
            <w:noWrap w:val="0"/>
            <w:vAlign w:val="center"/>
          </w:tcPr>
          <w:p w14:paraId="19FF7851">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带有非用户替换光源的灯具</w:t>
            </w:r>
          </w:p>
        </w:tc>
        <w:tc>
          <w:tcPr>
            <w:tcW w:w="2190" w:type="dxa"/>
            <w:vMerge w:val="continue"/>
            <w:noWrap w:val="0"/>
            <w:vAlign w:val="center"/>
          </w:tcPr>
          <w:p w14:paraId="4AC03C6E">
            <w:pPr>
              <w:snapToGrid w:val="0"/>
              <w:jc w:val="center"/>
              <w:rPr>
                <w:rFonts w:hint="default" w:ascii="Times New Roman" w:hAnsi="Times New Roman" w:cs="Times New Roman"/>
                <w:kern w:val="0"/>
                <w:szCs w:val="21"/>
              </w:rPr>
            </w:pPr>
          </w:p>
        </w:tc>
        <w:tc>
          <w:tcPr>
            <w:tcW w:w="2190" w:type="dxa"/>
            <w:vMerge w:val="continue"/>
            <w:noWrap w:val="0"/>
            <w:vAlign w:val="center"/>
          </w:tcPr>
          <w:p w14:paraId="0CFEA0FE">
            <w:pPr>
              <w:snapToGrid w:val="0"/>
              <w:jc w:val="center"/>
              <w:rPr>
                <w:rFonts w:hint="default" w:ascii="Times New Roman" w:hAnsi="Times New Roman" w:cs="Times New Roman"/>
                <w:kern w:val="0"/>
                <w:szCs w:val="21"/>
              </w:rPr>
            </w:pPr>
          </w:p>
        </w:tc>
      </w:tr>
      <w:tr w14:paraId="1A50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vMerge w:val="continue"/>
            <w:noWrap w:val="0"/>
            <w:vAlign w:val="center"/>
          </w:tcPr>
          <w:p w14:paraId="2C528012">
            <w:pPr>
              <w:snapToGrid w:val="0"/>
              <w:jc w:val="center"/>
              <w:rPr>
                <w:rFonts w:hint="default" w:ascii="Times New Roman" w:hAnsi="Times New Roman" w:cs="Times New Roman"/>
                <w:color w:val="000000"/>
                <w:szCs w:val="21"/>
              </w:rPr>
            </w:pPr>
          </w:p>
        </w:tc>
        <w:tc>
          <w:tcPr>
            <w:tcW w:w="1320" w:type="dxa"/>
            <w:vMerge w:val="continue"/>
            <w:noWrap w:val="0"/>
            <w:vAlign w:val="center"/>
          </w:tcPr>
          <w:p w14:paraId="3210FA3B">
            <w:pPr>
              <w:jc w:val="center"/>
              <w:rPr>
                <w:rFonts w:hint="default" w:ascii="Times New Roman" w:hAnsi="Times New Roman" w:cs="Times New Roman"/>
                <w:kern w:val="0"/>
                <w:szCs w:val="21"/>
              </w:rPr>
            </w:pPr>
          </w:p>
        </w:tc>
        <w:tc>
          <w:tcPr>
            <w:tcW w:w="2597" w:type="dxa"/>
            <w:noWrap w:val="0"/>
            <w:vAlign w:val="center"/>
          </w:tcPr>
          <w:p w14:paraId="435979E2">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视网膜蓝光危害</w:t>
            </w:r>
          </w:p>
        </w:tc>
        <w:tc>
          <w:tcPr>
            <w:tcW w:w="2190" w:type="dxa"/>
            <w:vMerge w:val="continue"/>
            <w:noWrap w:val="0"/>
            <w:vAlign w:val="center"/>
          </w:tcPr>
          <w:p w14:paraId="5BF4A977">
            <w:pPr>
              <w:jc w:val="center"/>
              <w:rPr>
                <w:rFonts w:hint="default" w:ascii="Times New Roman" w:hAnsi="Times New Roman" w:cs="Times New Roman"/>
                <w:szCs w:val="21"/>
              </w:rPr>
            </w:pPr>
          </w:p>
        </w:tc>
        <w:tc>
          <w:tcPr>
            <w:tcW w:w="2190" w:type="dxa"/>
            <w:vMerge w:val="continue"/>
            <w:noWrap w:val="0"/>
            <w:vAlign w:val="center"/>
          </w:tcPr>
          <w:p w14:paraId="05CADC5C">
            <w:pPr>
              <w:jc w:val="center"/>
              <w:rPr>
                <w:rFonts w:hint="default" w:ascii="Times New Roman" w:hAnsi="Times New Roman" w:cs="Times New Roman"/>
                <w:szCs w:val="21"/>
              </w:rPr>
            </w:pPr>
          </w:p>
        </w:tc>
      </w:tr>
      <w:tr w14:paraId="3E2B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vMerge w:val="continue"/>
            <w:noWrap w:val="0"/>
            <w:vAlign w:val="center"/>
          </w:tcPr>
          <w:p w14:paraId="6814E579">
            <w:pPr>
              <w:snapToGrid w:val="0"/>
              <w:jc w:val="center"/>
              <w:rPr>
                <w:rFonts w:hint="default" w:ascii="Times New Roman" w:hAnsi="Times New Roman" w:cs="Times New Roman"/>
                <w:color w:val="000000"/>
                <w:szCs w:val="21"/>
              </w:rPr>
            </w:pPr>
          </w:p>
        </w:tc>
        <w:tc>
          <w:tcPr>
            <w:tcW w:w="1320" w:type="dxa"/>
            <w:vMerge w:val="continue"/>
            <w:noWrap w:val="0"/>
            <w:vAlign w:val="center"/>
          </w:tcPr>
          <w:p w14:paraId="7F42234F">
            <w:pPr>
              <w:jc w:val="center"/>
              <w:rPr>
                <w:rFonts w:hint="default" w:ascii="Times New Roman" w:hAnsi="Times New Roman" w:cs="Times New Roman"/>
                <w:kern w:val="0"/>
                <w:szCs w:val="21"/>
              </w:rPr>
            </w:pPr>
          </w:p>
        </w:tc>
        <w:tc>
          <w:tcPr>
            <w:tcW w:w="2597" w:type="dxa"/>
            <w:noWrap w:val="0"/>
            <w:vAlign w:val="center"/>
          </w:tcPr>
          <w:p w14:paraId="72BBC53F">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平稳度</w:t>
            </w:r>
          </w:p>
        </w:tc>
        <w:tc>
          <w:tcPr>
            <w:tcW w:w="2190" w:type="dxa"/>
            <w:vMerge w:val="continue"/>
            <w:noWrap w:val="0"/>
            <w:vAlign w:val="center"/>
          </w:tcPr>
          <w:p w14:paraId="11504E74">
            <w:pPr>
              <w:jc w:val="center"/>
              <w:rPr>
                <w:rFonts w:hint="default" w:ascii="Times New Roman" w:hAnsi="Times New Roman" w:cs="Times New Roman"/>
                <w:szCs w:val="21"/>
              </w:rPr>
            </w:pPr>
          </w:p>
        </w:tc>
        <w:tc>
          <w:tcPr>
            <w:tcW w:w="2190" w:type="dxa"/>
            <w:vMerge w:val="continue"/>
            <w:noWrap w:val="0"/>
            <w:vAlign w:val="center"/>
          </w:tcPr>
          <w:p w14:paraId="4E94F13E">
            <w:pPr>
              <w:jc w:val="center"/>
              <w:rPr>
                <w:rFonts w:hint="default" w:ascii="Times New Roman" w:hAnsi="Times New Roman" w:cs="Times New Roman"/>
                <w:szCs w:val="21"/>
              </w:rPr>
            </w:pPr>
          </w:p>
        </w:tc>
      </w:tr>
      <w:tr w14:paraId="685F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vMerge w:val="restart"/>
            <w:noWrap w:val="0"/>
            <w:vAlign w:val="center"/>
          </w:tcPr>
          <w:p w14:paraId="36843D27">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1320" w:type="dxa"/>
            <w:vMerge w:val="restart"/>
            <w:noWrap w:val="0"/>
            <w:vAlign w:val="center"/>
          </w:tcPr>
          <w:p w14:paraId="577D6626">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外部接线和内部接线</w:t>
            </w:r>
          </w:p>
        </w:tc>
        <w:tc>
          <w:tcPr>
            <w:tcW w:w="2597" w:type="dxa"/>
            <w:noWrap w:val="0"/>
            <w:vAlign w:val="center"/>
          </w:tcPr>
          <w:p w14:paraId="10414BDC">
            <w:pPr>
              <w:jc w:val="center"/>
              <w:rPr>
                <w:rFonts w:hint="default" w:ascii="Times New Roman" w:hAnsi="Times New Roman" w:cs="Times New Roman"/>
                <w:kern w:val="0"/>
                <w:szCs w:val="21"/>
              </w:rPr>
            </w:pPr>
            <w:r>
              <w:rPr>
                <w:rFonts w:hint="default" w:ascii="Times New Roman" w:hAnsi="Times New Roman" w:cs="Times New Roman"/>
                <w:kern w:val="0"/>
                <w:szCs w:val="21"/>
              </w:rPr>
              <w:t>电源连接方法</w:t>
            </w:r>
          </w:p>
        </w:tc>
        <w:tc>
          <w:tcPr>
            <w:tcW w:w="2190" w:type="dxa"/>
            <w:vMerge w:val="restart"/>
            <w:noWrap w:val="0"/>
            <w:vAlign w:val="center"/>
          </w:tcPr>
          <w:p w14:paraId="13290B39">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6A399CCD">
            <w:pPr>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90" w:type="dxa"/>
            <w:vMerge w:val="restart"/>
            <w:noWrap w:val="0"/>
            <w:vAlign w:val="center"/>
          </w:tcPr>
          <w:p w14:paraId="3FF2C24D">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1857F928">
            <w:pPr>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5FCA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58" w:hRule="atLeast"/>
          <w:jc w:val="center"/>
        </w:trPr>
        <w:tc>
          <w:tcPr>
            <w:tcW w:w="760" w:type="dxa"/>
            <w:vMerge w:val="continue"/>
            <w:noWrap w:val="0"/>
            <w:vAlign w:val="center"/>
          </w:tcPr>
          <w:p w14:paraId="3261E85E">
            <w:pPr>
              <w:snapToGrid w:val="0"/>
              <w:jc w:val="center"/>
              <w:rPr>
                <w:rFonts w:hint="default" w:ascii="Times New Roman" w:hAnsi="Times New Roman" w:cs="Times New Roman"/>
                <w:color w:val="000000"/>
                <w:szCs w:val="21"/>
              </w:rPr>
            </w:pPr>
          </w:p>
        </w:tc>
        <w:tc>
          <w:tcPr>
            <w:tcW w:w="1320" w:type="dxa"/>
            <w:vMerge w:val="continue"/>
            <w:noWrap w:val="0"/>
            <w:vAlign w:val="center"/>
          </w:tcPr>
          <w:p w14:paraId="29001F67">
            <w:pPr>
              <w:jc w:val="center"/>
              <w:rPr>
                <w:rFonts w:hint="default" w:ascii="Times New Roman" w:hAnsi="Times New Roman" w:cs="Times New Roman"/>
                <w:kern w:val="0"/>
                <w:szCs w:val="21"/>
              </w:rPr>
            </w:pPr>
          </w:p>
        </w:tc>
        <w:tc>
          <w:tcPr>
            <w:tcW w:w="2597" w:type="dxa"/>
            <w:noWrap w:val="0"/>
            <w:vAlign w:val="center"/>
          </w:tcPr>
          <w:p w14:paraId="061EC246">
            <w:pPr>
              <w:jc w:val="center"/>
              <w:rPr>
                <w:rFonts w:hint="default" w:ascii="Times New Roman" w:hAnsi="Times New Roman" w:cs="Times New Roman"/>
                <w:kern w:val="0"/>
                <w:szCs w:val="21"/>
              </w:rPr>
            </w:pPr>
            <w:r>
              <w:rPr>
                <w:rFonts w:hint="default" w:ascii="Times New Roman" w:hAnsi="Times New Roman" w:cs="Times New Roman"/>
                <w:kern w:val="0"/>
                <w:szCs w:val="21"/>
              </w:rPr>
              <w:t>软线固定架</w:t>
            </w:r>
          </w:p>
        </w:tc>
        <w:tc>
          <w:tcPr>
            <w:tcW w:w="2190" w:type="dxa"/>
            <w:vMerge w:val="continue"/>
            <w:noWrap w:val="0"/>
            <w:vAlign w:val="center"/>
          </w:tcPr>
          <w:p w14:paraId="46D6D9D7">
            <w:pPr>
              <w:jc w:val="center"/>
              <w:rPr>
                <w:rFonts w:hint="default" w:ascii="Times New Roman" w:hAnsi="Times New Roman" w:cs="Times New Roman"/>
                <w:szCs w:val="21"/>
              </w:rPr>
            </w:pPr>
          </w:p>
        </w:tc>
        <w:tc>
          <w:tcPr>
            <w:tcW w:w="2190" w:type="dxa"/>
            <w:vMerge w:val="continue"/>
            <w:noWrap w:val="0"/>
            <w:vAlign w:val="center"/>
          </w:tcPr>
          <w:p w14:paraId="759C3C4E">
            <w:pPr>
              <w:jc w:val="center"/>
              <w:rPr>
                <w:rFonts w:hint="default" w:ascii="Times New Roman" w:hAnsi="Times New Roman" w:cs="Times New Roman"/>
                <w:szCs w:val="21"/>
              </w:rPr>
            </w:pPr>
          </w:p>
        </w:tc>
      </w:tr>
      <w:tr w14:paraId="3C81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noWrap w:val="0"/>
            <w:vAlign w:val="center"/>
          </w:tcPr>
          <w:p w14:paraId="2F50F0C6">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3917" w:type="dxa"/>
            <w:gridSpan w:val="2"/>
            <w:noWrap w:val="0"/>
            <w:vAlign w:val="center"/>
          </w:tcPr>
          <w:p w14:paraId="69774BA8">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防触电保护</w:t>
            </w:r>
          </w:p>
        </w:tc>
        <w:tc>
          <w:tcPr>
            <w:tcW w:w="2190" w:type="dxa"/>
            <w:noWrap w:val="0"/>
            <w:vAlign w:val="center"/>
          </w:tcPr>
          <w:p w14:paraId="131AADFE">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4B336115">
            <w:pPr>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90" w:type="dxa"/>
            <w:noWrap w:val="0"/>
            <w:vAlign w:val="center"/>
          </w:tcPr>
          <w:p w14:paraId="171D2561">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1DCE8D2">
            <w:pPr>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5FB0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noWrap w:val="0"/>
            <w:vAlign w:val="center"/>
          </w:tcPr>
          <w:p w14:paraId="4BF08B41">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1320" w:type="dxa"/>
            <w:noWrap w:val="0"/>
            <w:vAlign w:val="center"/>
          </w:tcPr>
          <w:p w14:paraId="1AEE9B16">
            <w:pPr>
              <w:jc w:val="center"/>
              <w:rPr>
                <w:rFonts w:hint="default" w:ascii="Times New Roman" w:hAnsi="Times New Roman" w:cs="Times New Roman"/>
                <w:kern w:val="0"/>
                <w:szCs w:val="21"/>
              </w:rPr>
            </w:pPr>
            <w:r>
              <w:rPr>
                <w:rFonts w:hint="default" w:ascii="Times New Roman" w:hAnsi="Times New Roman" w:cs="Times New Roman"/>
                <w:kern w:val="0"/>
                <w:szCs w:val="21"/>
              </w:rPr>
              <w:t>耐久性试验和热试验</w:t>
            </w:r>
          </w:p>
        </w:tc>
        <w:tc>
          <w:tcPr>
            <w:tcW w:w="2597" w:type="dxa"/>
            <w:noWrap w:val="0"/>
            <w:vAlign w:val="center"/>
          </w:tcPr>
          <w:p w14:paraId="2DA4B429">
            <w:pPr>
              <w:jc w:val="center"/>
              <w:rPr>
                <w:rFonts w:hint="default" w:ascii="Times New Roman" w:hAnsi="Times New Roman" w:cs="Times New Roman"/>
                <w:kern w:val="0"/>
                <w:szCs w:val="21"/>
              </w:rPr>
            </w:pPr>
            <w:r>
              <w:rPr>
                <w:rFonts w:hint="default" w:ascii="Times New Roman" w:hAnsi="Times New Roman" w:cs="Times New Roman"/>
                <w:kern w:val="0"/>
                <w:szCs w:val="21"/>
              </w:rPr>
              <w:t>耐久性试验</w:t>
            </w:r>
          </w:p>
        </w:tc>
        <w:tc>
          <w:tcPr>
            <w:tcW w:w="2190" w:type="dxa"/>
            <w:noWrap w:val="0"/>
            <w:vAlign w:val="center"/>
          </w:tcPr>
          <w:p w14:paraId="592F4BA4">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5B299B0C">
            <w:pPr>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90" w:type="dxa"/>
            <w:noWrap w:val="0"/>
            <w:vAlign w:val="center"/>
          </w:tcPr>
          <w:p w14:paraId="20E35DCB">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18FBCEBB">
            <w:pPr>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711D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vMerge w:val="restart"/>
            <w:noWrap w:val="0"/>
            <w:vAlign w:val="center"/>
          </w:tcPr>
          <w:p w14:paraId="09BFE09E">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1320" w:type="dxa"/>
            <w:vMerge w:val="restart"/>
            <w:noWrap w:val="0"/>
            <w:vAlign w:val="center"/>
          </w:tcPr>
          <w:p w14:paraId="306F74B4">
            <w:pPr>
              <w:jc w:val="center"/>
              <w:rPr>
                <w:rFonts w:hint="default" w:ascii="Times New Roman" w:hAnsi="Times New Roman" w:cs="Times New Roman"/>
                <w:kern w:val="0"/>
                <w:szCs w:val="21"/>
              </w:rPr>
            </w:pPr>
            <w:r>
              <w:rPr>
                <w:rFonts w:hint="default" w:ascii="Times New Roman" w:hAnsi="Times New Roman" w:cs="Times New Roman"/>
                <w:kern w:val="0"/>
                <w:szCs w:val="21"/>
              </w:rPr>
              <w:t>耐热、耐火和耐起痕</w:t>
            </w:r>
          </w:p>
        </w:tc>
        <w:tc>
          <w:tcPr>
            <w:tcW w:w="2597" w:type="dxa"/>
            <w:noWrap w:val="0"/>
            <w:vAlign w:val="center"/>
          </w:tcPr>
          <w:p w14:paraId="30A57094">
            <w:pPr>
              <w:jc w:val="center"/>
              <w:rPr>
                <w:rFonts w:hint="default" w:ascii="Times New Roman" w:hAnsi="Times New Roman" w:cs="Times New Roman"/>
                <w:kern w:val="0"/>
                <w:szCs w:val="21"/>
              </w:rPr>
            </w:pPr>
            <w:r>
              <w:rPr>
                <w:rFonts w:hint="default" w:ascii="Times New Roman" w:hAnsi="Times New Roman" w:cs="Times New Roman"/>
                <w:kern w:val="0"/>
                <w:szCs w:val="21"/>
              </w:rPr>
              <w:t>耐热</w:t>
            </w:r>
          </w:p>
        </w:tc>
        <w:tc>
          <w:tcPr>
            <w:tcW w:w="2190" w:type="dxa"/>
            <w:vMerge w:val="restart"/>
            <w:noWrap w:val="0"/>
            <w:vAlign w:val="center"/>
          </w:tcPr>
          <w:p w14:paraId="65A7F27D">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55066F07">
            <w:pPr>
              <w:jc w:val="center"/>
              <w:rPr>
                <w:rFonts w:hint="default" w:ascii="Times New Roman" w:hAnsi="Times New Roman" w:cs="Times New Roman"/>
                <w:szCs w:val="21"/>
              </w:rPr>
            </w:pPr>
            <w:r>
              <w:rPr>
                <w:rFonts w:hint="default" w:ascii="Times New Roman" w:hAnsi="Times New Roman" w:cs="Times New Roman"/>
                <w:szCs w:val="21"/>
              </w:rPr>
              <w:t>GB/T 7000.204—2023</w:t>
            </w:r>
          </w:p>
        </w:tc>
        <w:tc>
          <w:tcPr>
            <w:tcW w:w="2190" w:type="dxa"/>
            <w:vMerge w:val="restart"/>
            <w:noWrap w:val="0"/>
            <w:vAlign w:val="center"/>
          </w:tcPr>
          <w:p w14:paraId="709C226B">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21EE09F6">
            <w:pPr>
              <w:jc w:val="center"/>
              <w:rPr>
                <w:rFonts w:hint="default" w:ascii="Times New Roman" w:hAnsi="Times New Roman" w:cs="Times New Roman"/>
                <w:szCs w:val="21"/>
              </w:rPr>
            </w:pPr>
            <w:r>
              <w:rPr>
                <w:rFonts w:hint="default" w:ascii="Times New Roman" w:hAnsi="Times New Roman" w:cs="Times New Roman"/>
                <w:szCs w:val="21"/>
              </w:rPr>
              <w:t>GB/T 7000.204—2023</w:t>
            </w:r>
          </w:p>
        </w:tc>
      </w:tr>
      <w:tr w14:paraId="4A935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vMerge w:val="continue"/>
            <w:noWrap w:val="0"/>
            <w:vAlign w:val="center"/>
          </w:tcPr>
          <w:p w14:paraId="65CAA916">
            <w:pPr>
              <w:snapToGrid w:val="0"/>
              <w:jc w:val="center"/>
              <w:rPr>
                <w:rFonts w:hint="default" w:ascii="Times New Roman" w:hAnsi="Times New Roman" w:cs="Times New Roman"/>
                <w:color w:val="000000"/>
                <w:szCs w:val="21"/>
              </w:rPr>
            </w:pPr>
          </w:p>
        </w:tc>
        <w:tc>
          <w:tcPr>
            <w:tcW w:w="1320" w:type="dxa"/>
            <w:vMerge w:val="continue"/>
            <w:noWrap w:val="0"/>
            <w:vAlign w:val="center"/>
          </w:tcPr>
          <w:p w14:paraId="466ED19A">
            <w:pPr>
              <w:jc w:val="center"/>
              <w:rPr>
                <w:rFonts w:hint="default" w:ascii="Times New Roman" w:hAnsi="Times New Roman" w:cs="Times New Roman"/>
                <w:kern w:val="0"/>
                <w:szCs w:val="21"/>
              </w:rPr>
            </w:pPr>
          </w:p>
        </w:tc>
        <w:tc>
          <w:tcPr>
            <w:tcW w:w="2597" w:type="dxa"/>
            <w:noWrap w:val="0"/>
            <w:vAlign w:val="center"/>
          </w:tcPr>
          <w:p w14:paraId="57C8B9A9">
            <w:pPr>
              <w:jc w:val="center"/>
              <w:rPr>
                <w:rFonts w:hint="default" w:ascii="Times New Roman" w:hAnsi="Times New Roman" w:cs="Times New Roman"/>
                <w:kern w:val="0"/>
                <w:szCs w:val="21"/>
              </w:rPr>
            </w:pPr>
            <w:r>
              <w:rPr>
                <w:rFonts w:hint="default" w:ascii="Times New Roman" w:hAnsi="Times New Roman" w:cs="Times New Roman"/>
                <w:kern w:val="0"/>
                <w:szCs w:val="21"/>
              </w:rPr>
              <w:t>耐燃烧和防引燃</w:t>
            </w:r>
          </w:p>
        </w:tc>
        <w:tc>
          <w:tcPr>
            <w:tcW w:w="2190" w:type="dxa"/>
            <w:vMerge w:val="continue"/>
            <w:noWrap w:val="0"/>
            <w:vAlign w:val="center"/>
          </w:tcPr>
          <w:p w14:paraId="2C15E733">
            <w:pPr>
              <w:jc w:val="center"/>
              <w:rPr>
                <w:rFonts w:hint="default" w:ascii="Times New Roman" w:hAnsi="Times New Roman" w:cs="Times New Roman"/>
                <w:szCs w:val="21"/>
              </w:rPr>
            </w:pPr>
          </w:p>
        </w:tc>
        <w:tc>
          <w:tcPr>
            <w:tcW w:w="2190" w:type="dxa"/>
            <w:vMerge w:val="continue"/>
            <w:noWrap w:val="0"/>
            <w:vAlign w:val="center"/>
          </w:tcPr>
          <w:p w14:paraId="3107928D">
            <w:pPr>
              <w:jc w:val="center"/>
              <w:rPr>
                <w:rFonts w:hint="default" w:ascii="Times New Roman" w:hAnsi="Times New Roman" w:cs="Times New Roman"/>
                <w:szCs w:val="21"/>
              </w:rPr>
            </w:pPr>
          </w:p>
        </w:tc>
      </w:tr>
      <w:tr w14:paraId="1027F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68" w:hRule="atLeast"/>
          <w:jc w:val="center"/>
        </w:trPr>
        <w:tc>
          <w:tcPr>
            <w:tcW w:w="760" w:type="dxa"/>
            <w:noWrap w:val="0"/>
            <w:vAlign w:val="center"/>
          </w:tcPr>
          <w:p w14:paraId="21629CE0">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3917" w:type="dxa"/>
            <w:gridSpan w:val="2"/>
            <w:noWrap w:val="0"/>
            <w:vAlign w:val="center"/>
          </w:tcPr>
          <w:p w14:paraId="4E997408">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电源端子传导骚扰</w:t>
            </w:r>
          </w:p>
        </w:tc>
        <w:tc>
          <w:tcPr>
            <w:tcW w:w="2190" w:type="dxa"/>
            <w:noWrap w:val="0"/>
            <w:vAlign w:val="center"/>
          </w:tcPr>
          <w:p w14:paraId="68CA95D9">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c>
          <w:tcPr>
            <w:tcW w:w="2190" w:type="dxa"/>
            <w:noWrap w:val="0"/>
            <w:vAlign w:val="center"/>
          </w:tcPr>
          <w:p w14:paraId="13B33C8B">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r>
      <w:tr w14:paraId="68A7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noWrap w:val="0"/>
            <w:vAlign w:val="center"/>
          </w:tcPr>
          <w:p w14:paraId="2BE25D99">
            <w:pPr>
              <w:snapToGrid w:val="0"/>
              <w:jc w:val="center"/>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lang w:val="en-US" w:eastAsia="zh-CN"/>
              </w:rPr>
              <w:t>7</w:t>
            </w:r>
          </w:p>
        </w:tc>
        <w:tc>
          <w:tcPr>
            <w:tcW w:w="3917" w:type="dxa"/>
            <w:gridSpan w:val="2"/>
            <w:noWrap w:val="0"/>
            <w:vAlign w:val="center"/>
          </w:tcPr>
          <w:p w14:paraId="0637BA5E">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辐射骚扰（30MHz~1GHz）</w:t>
            </w:r>
          </w:p>
        </w:tc>
        <w:tc>
          <w:tcPr>
            <w:tcW w:w="2190" w:type="dxa"/>
            <w:noWrap w:val="0"/>
            <w:vAlign w:val="center"/>
          </w:tcPr>
          <w:p w14:paraId="0318FCDB">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c>
          <w:tcPr>
            <w:tcW w:w="2190" w:type="dxa"/>
            <w:noWrap w:val="0"/>
            <w:vAlign w:val="center"/>
          </w:tcPr>
          <w:p w14:paraId="4F7ACCEF">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r>
      <w:tr w14:paraId="11B2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0" w:type="dxa"/>
            <w:right w:w="108" w:type="dxa"/>
          </w:tblCellMar>
        </w:tblPrEx>
        <w:trPr>
          <w:trHeight w:val="340" w:hRule="atLeast"/>
          <w:jc w:val="center"/>
        </w:trPr>
        <w:tc>
          <w:tcPr>
            <w:tcW w:w="760" w:type="dxa"/>
            <w:noWrap w:val="0"/>
            <w:vAlign w:val="center"/>
          </w:tcPr>
          <w:p w14:paraId="29BBDF5F">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lang w:val="en-US" w:eastAsia="zh-CN"/>
              </w:rPr>
              <w:t>8</w:t>
            </w:r>
          </w:p>
        </w:tc>
        <w:tc>
          <w:tcPr>
            <w:tcW w:w="3917" w:type="dxa"/>
            <w:gridSpan w:val="2"/>
            <w:noWrap w:val="0"/>
            <w:vAlign w:val="center"/>
          </w:tcPr>
          <w:p w14:paraId="4C752FBA">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谐波电流</w:t>
            </w:r>
          </w:p>
        </w:tc>
        <w:tc>
          <w:tcPr>
            <w:tcW w:w="2190" w:type="dxa"/>
            <w:noWrap w:val="0"/>
            <w:vAlign w:val="center"/>
          </w:tcPr>
          <w:p w14:paraId="20665F9D">
            <w:pPr>
              <w:snapToGrid w:val="0"/>
              <w:jc w:val="center"/>
              <w:rPr>
                <w:rFonts w:hint="default" w:ascii="Times New Roman" w:hAnsi="Times New Roman" w:cs="Times New Roman"/>
                <w:szCs w:val="21"/>
              </w:rPr>
            </w:pPr>
            <w:r>
              <w:rPr>
                <w:rFonts w:hint="default" w:ascii="Times New Roman" w:hAnsi="Times New Roman" w:cs="Times New Roman"/>
                <w:szCs w:val="21"/>
              </w:rPr>
              <w:t>GB 17625.1—2022</w:t>
            </w:r>
          </w:p>
        </w:tc>
        <w:tc>
          <w:tcPr>
            <w:tcW w:w="2190" w:type="dxa"/>
            <w:noWrap w:val="0"/>
            <w:vAlign w:val="center"/>
          </w:tcPr>
          <w:p w14:paraId="3568D96A">
            <w:pPr>
              <w:snapToGrid w:val="0"/>
              <w:jc w:val="center"/>
              <w:rPr>
                <w:rFonts w:hint="default" w:ascii="Times New Roman" w:hAnsi="Times New Roman" w:cs="Times New Roman"/>
                <w:szCs w:val="21"/>
              </w:rPr>
            </w:pPr>
            <w:r>
              <w:rPr>
                <w:rFonts w:hint="default" w:ascii="Times New Roman" w:hAnsi="Times New Roman" w:cs="Times New Roman"/>
                <w:szCs w:val="21"/>
              </w:rPr>
              <w:t>GB 17625.1—2022</w:t>
            </w:r>
          </w:p>
        </w:tc>
      </w:tr>
    </w:tbl>
    <w:p w14:paraId="658B9A89">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52B49DC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7000.1—2023 灯具 第1部分：一般要求与试验</w:t>
      </w:r>
    </w:p>
    <w:p w14:paraId="1C7C17F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7000.204—2023灯具 第2-4部分：特殊要求 可移式通用灯具</w:t>
      </w:r>
    </w:p>
    <w:p w14:paraId="17F8318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17625.1—2022 电磁兼容 限值 第1部分：谐波电流发射限值(设备每相输入电流≤16A）</w:t>
      </w:r>
    </w:p>
    <w:p w14:paraId="5184C44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17743—2021 电气照明和类似设备的无线电骚扰特性的限值和测量方法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bookmarkStart w:id="0" w:name="_GoBack"/>
      <w:bookmarkEnd w:id="0"/>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36839EA"/>
    <w:rsid w:val="06E03F13"/>
    <w:rsid w:val="070E6657"/>
    <w:rsid w:val="0CD143AE"/>
    <w:rsid w:val="0D343503"/>
    <w:rsid w:val="0EF952C0"/>
    <w:rsid w:val="13144FF5"/>
    <w:rsid w:val="149E7B87"/>
    <w:rsid w:val="156C55BC"/>
    <w:rsid w:val="1B065B6B"/>
    <w:rsid w:val="1E4E1EB3"/>
    <w:rsid w:val="1E7B23CC"/>
    <w:rsid w:val="222A1341"/>
    <w:rsid w:val="279F6566"/>
    <w:rsid w:val="29B570DA"/>
    <w:rsid w:val="2B4863B8"/>
    <w:rsid w:val="2B830B12"/>
    <w:rsid w:val="2E5977D4"/>
    <w:rsid w:val="2E8C4181"/>
    <w:rsid w:val="2ED81174"/>
    <w:rsid w:val="38A81BB8"/>
    <w:rsid w:val="3D4D275B"/>
    <w:rsid w:val="3E0F5B7A"/>
    <w:rsid w:val="408E5B37"/>
    <w:rsid w:val="42C54070"/>
    <w:rsid w:val="43081BD1"/>
    <w:rsid w:val="439E0D9F"/>
    <w:rsid w:val="44512568"/>
    <w:rsid w:val="46050649"/>
    <w:rsid w:val="46F26E20"/>
    <w:rsid w:val="470C0994"/>
    <w:rsid w:val="48797678"/>
    <w:rsid w:val="4C6D02BD"/>
    <w:rsid w:val="4D8C5449"/>
    <w:rsid w:val="4E227B86"/>
    <w:rsid w:val="4E3A2F69"/>
    <w:rsid w:val="523C53F3"/>
    <w:rsid w:val="534D3EB1"/>
    <w:rsid w:val="53580957"/>
    <w:rsid w:val="579C137C"/>
    <w:rsid w:val="58705DF6"/>
    <w:rsid w:val="592E4311"/>
    <w:rsid w:val="5B177556"/>
    <w:rsid w:val="649B4036"/>
    <w:rsid w:val="66F127F8"/>
    <w:rsid w:val="6864524C"/>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922</Words>
  <Characters>1286</Characters>
  <Lines>0</Lines>
  <Paragraphs>0</Paragraphs>
  <TotalTime>0</TotalTime>
  <ScaleCrop>false</ScaleCrop>
  <LinksUpToDate>false</LinksUpToDate>
  <CharactersWithSpaces>1329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2026-07-03T03:46:49Z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8014E3AC7E60406280B4F7372E573D12_13</vt:lpwstr>
  </property>
  <property fmtid="{D5CDD505-2E9C-101B-9397-08002B2CF9AE}" pid="4" name="KSOTemplateDocerSaveRecord">
    <vt:lpwstr>eyJoZGlkIjoiYjU4YTEyOWI0YTA1NzExMDUyM2E4NzRjZjM1MmQ2OWEiLCJ1c2VySWQiOiIxMTI2NTcyODI0In0=</vt:lpwstr>
  </property>
</Properties>
</file>